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37" w:rsidRDefault="00651937" w:rsidP="0065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</w:rPr>
        <w:t>ОГОЛОШЕННЯ ПРО ТЕНДЕРНУ ЗАКУПІВЛЮ</w:t>
      </w:r>
    </w:p>
    <w:p w:rsidR="00651937" w:rsidRDefault="00651937" w:rsidP="00651937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231F20"/>
        </w:rPr>
        <w:t>ПРЕДМЕТ ЗАКУПІВЛІ:</w:t>
      </w:r>
      <w:r>
        <w:rPr>
          <w:rFonts w:ascii="Times New Roman" w:eastAsia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u w:val="single"/>
        </w:rPr>
        <w:t>Організаційні п</w:t>
      </w:r>
      <w:r>
        <w:rPr>
          <w:rFonts w:ascii="Times New Roman" w:eastAsia="Times New Roman" w:hAnsi="Times New Roman" w:cs="Times New Roman"/>
          <w:b/>
          <w:u w:val="single"/>
        </w:rPr>
        <w:t>ослуги проведення заходів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651937" w:rsidRDefault="00651937" w:rsidP="0065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Громадська організація «Простір молоді»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запрошує Вас прийняти участь у тендері </w:t>
      </w:r>
      <w:r>
        <w:rPr>
          <w:rFonts w:ascii="Times New Roman" w:eastAsia="Times New Roman" w:hAnsi="Times New Roman" w:cs="Times New Roman"/>
        </w:rPr>
        <w:t>на відбір постачальника послуг з організації та матеріально-технічного забезпечення заходів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оголошеному для укладання договору на організаційні послуги для проведення </w:t>
      </w:r>
      <w:r>
        <w:rPr>
          <w:rFonts w:ascii="Times New Roman" w:eastAsia="Times New Roman" w:hAnsi="Times New Roman" w:cs="Times New Roman"/>
          <w:color w:val="000000"/>
        </w:rPr>
        <w:t>просвітницьких заходів та тематичних буткемпів для учасників UPSHIFT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в рамках проєкту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«Зміцнення спроможності молодих людей стати агентами змін через розвиток життєвих навичок підлі</w:t>
      </w:r>
      <w:r>
        <w:rPr>
          <w:rFonts w:ascii="Times New Roman" w:eastAsia="Times New Roman" w:hAnsi="Times New Roman" w:cs="Times New Roman"/>
          <w:b/>
          <w:i/>
          <w:highlight w:val="white"/>
        </w:rPr>
        <w:t>тків та підтримку молодіжного активізму у 7-ми західних областях»</w:t>
      </w:r>
      <w:r>
        <w:rPr>
          <w:rFonts w:ascii="Times New Roman" w:eastAsia="Times New Roman" w:hAnsi="Times New Roman" w:cs="Times New Roman"/>
          <w:highlight w:val="white"/>
        </w:rPr>
        <w:t>, що фінансується за рахунок коштів Дитячого Фонду ООН.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Послуги</w:t>
      </w:r>
      <w:r>
        <w:rPr>
          <w:rFonts w:ascii="Times New Roman" w:eastAsia="Times New Roman" w:hAnsi="Times New Roman" w:cs="Times New Roman"/>
          <w:highlight w:val="white"/>
        </w:rPr>
        <w:t xml:space="preserve"> – Комплексна організація заходів.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Термін надання послуг</w:t>
      </w:r>
      <w:r>
        <w:rPr>
          <w:rFonts w:ascii="Times New Roman" w:eastAsia="Times New Roman" w:hAnsi="Times New Roman" w:cs="Times New Roman"/>
          <w:highlight w:val="white"/>
        </w:rPr>
        <w:t xml:space="preserve"> – 1</w:t>
      </w:r>
      <w:r w:rsidR="00A76B6F">
        <w:rPr>
          <w:rFonts w:ascii="Times New Roman" w:eastAsia="Times New Roman" w:hAnsi="Times New Roman" w:cs="Times New Roman"/>
          <w:highlight w:val="white"/>
          <w:lang w:val="uk-UA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вересня 2023 р. – 30 травня 2024 р.</w:t>
      </w:r>
    </w:p>
    <w:p w:rsidR="00651937" w:rsidRPr="00935524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  <w:lang w:val="uk-UA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Місце надання послуг – </w:t>
      </w:r>
      <w:r>
        <w:rPr>
          <w:rFonts w:ascii="Times New Roman" w:eastAsia="Times New Roman" w:hAnsi="Times New Roman" w:cs="Times New Roman"/>
          <w:highlight w:val="white"/>
        </w:rPr>
        <w:t>м. Ужгород, Закарпатська область.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Кінцевий термін надання пропозицій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highlight w:val="white"/>
        </w:rPr>
        <w:t>05 вересня, 12:00 за Київським часом.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Адреса для надання пропозицій:</w:t>
      </w:r>
      <w:r>
        <w:rPr>
          <w:rFonts w:ascii="Times New Roman" w:eastAsia="Times New Roman" w:hAnsi="Times New Roman" w:cs="Times New Roman"/>
          <w:highlight w:val="white"/>
        </w:rPr>
        <w:t xml:space="preserve"> повний пакет документів подається у сканованому вигляді (формат PDF) на електронну адресу організації </w:t>
      </w:r>
      <w:hyperlink r:id="rId8">
        <w:r>
          <w:rPr>
            <w:rFonts w:ascii="Times New Roman" w:eastAsia="Times New Roman" w:hAnsi="Times New Roman" w:cs="Times New Roman"/>
            <w:b/>
            <w:highlight w:val="white"/>
          </w:rPr>
          <w:t>youthspaceukraine@gmail.com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з темою «Тендерна пропозиція на послуги з організації заходів» або оригіналами за адресою: м. Ужгород, вул. Швабська, 12а.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Замовник</w:t>
      </w:r>
      <w:r>
        <w:rPr>
          <w:rFonts w:ascii="Times New Roman" w:eastAsia="Times New Roman" w:hAnsi="Times New Roman" w:cs="Times New Roman"/>
          <w:highlight w:val="white"/>
        </w:rPr>
        <w:t>: Громадська організація «Простір молоді».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>Для участі у тендері учасник повинен надати наступні документи:</w:t>
      </w:r>
    </w:p>
    <w:p w:rsidR="00651937" w:rsidRDefault="00651937" w:rsidP="0065193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Лист-згода на участь у тендері та обробку персональних даних.</w:t>
      </w:r>
    </w:p>
    <w:p w:rsidR="00651937" w:rsidRDefault="00651937" w:rsidP="0065193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Скановану копію цінової пропозиції.</w:t>
      </w:r>
    </w:p>
    <w:p w:rsidR="00651937" w:rsidRDefault="00651937" w:rsidP="0065193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Скановану копію Витягу з Єдиного державного реєстру юридичних осіб, фізичних осіб –підприємців та громадських формувань.</w:t>
      </w:r>
    </w:p>
    <w:p w:rsidR="00651937" w:rsidRDefault="00651937" w:rsidP="0065193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Скановану пропозицію Витягу про сплату єдиного податку із зазначенням видів діяльності.</w:t>
      </w:r>
    </w:p>
    <w:p w:rsidR="00651937" w:rsidRDefault="00651937" w:rsidP="0065193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Заповнену форму цінової пропозиції, що знаходиться у додатку 1 завірену підписом уповноваженої особи та печаткою (за наявності);</w:t>
      </w:r>
    </w:p>
    <w:p w:rsidR="00651937" w:rsidRPr="00A76B6F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651937" w:rsidRPr="00994576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576">
        <w:rPr>
          <w:rFonts w:ascii="Times New Roman" w:eastAsia="Times New Roman" w:hAnsi="Times New Roman" w:cs="Times New Roman"/>
        </w:rPr>
        <w:t>Ключовими критеріями відбору постачальника є:</w:t>
      </w:r>
    </w:p>
    <w:p w:rsidR="00651937" w:rsidRDefault="00651937" w:rsidP="00651937">
      <w:pPr>
        <w:pStyle w:val="a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576">
        <w:rPr>
          <w:rFonts w:ascii="Times New Roman" w:eastAsia="Times New Roman" w:hAnsi="Times New Roman" w:cs="Times New Roman"/>
        </w:rPr>
        <w:t>Надання послуг «під ключ», організація заходів в комплексі;</w:t>
      </w:r>
    </w:p>
    <w:p w:rsidR="00651937" w:rsidRPr="00994576" w:rsidRDefault="00651937" w:rsidP="00651937">
      <w:pPr>
        <w:pStyle w:val="a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576">
        <w:rPr>
          <w:rFonts w:ascii="Times New Roman" w:eastAsia="Times New Roman" w:hAnsi="Times New Roman" w:cs="Times New Roman"/>
        </w:rPr>
        <w:t>Вартість послуг;</w:t>
      </w:r>
    </w:p>
    <w:p w:rsidR="00651937" w:rsidRDefault="00651937" w:rsidP="00651937">
      <w:pPr>
        <w:pStyle w:val="a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576">
        <w:rPr>
          <w:rFonts w:ascii="Times New Roman" w:eastAsia="Times New Roman" w:hAnsi="Times New Roman" w:cs="Times New Roman"/>
        </w:rPr>
        <w:t>Вартість логістичних послуг;</w:t>
      </w:r>
    </w:p>
    <w:p w:rsidR="00651937" w:rsidRDefault="00651937" w:rsidP="0065193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1937" w:rsidRDefault="00651937" w:rsidP="00651937">
      <w:pPr>
        <w:widowControl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Вартість послуг в комерційних пропозиціях вказується </w:t>
      </w:r>
      <w:r w:rsidR="00A76B6F">
        <w:rPr>
          <w:rFonts w:ascii="Times New Roman" w:eastAsia="Times New Roman" w:hAnsi="Times New Roman" w:cs="Times New Roman"/>
          <w:lang w:val="uk-UA"/>
        </w:rPr>
        <w:t xml:space="preserve">у </w:t>
      </w:r>
      <w:r>
        <w:rPr>
          <w:rFonts w:ascii="Times New Roman" w:eastAsia="Times New Roman" w:hAnsi="Times New Roman" w:cs="Times New Roman"/>
        </w:rPr>
        <w:t>гривнях.</w:t>
      </w:r>
    </w:p>
    <w:p w:rsidR="00651937" w:rsidRDefault="00651937" w:rsidP="00651937">
      <w:pPr>
        <w:widowControl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</w:p>
    <w:p w:rsidR="00651937" w:rsidRDefault="00A76B6F" w:rsidP="00651937">
      <w:pPr>
        <w:widowControl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lang w:val="uk-UA"/>
        </w:rPr>
        <w:t xml:space="preserve">В </w:t>
      </w:r>
      <w:r w:rsidR="00651937">
        <w:rPr>
          <w:rFonts w:ascii="Times New Roman" w:eastAsia="Times New Roman" w:hAnsi="Times New Roman" w:cs="Times New Roman"/>
        </w:rPr>
        <w:t>рамках тендеру буде підтримано одну пропозицію, що відповідає технічному завданню і відповідатиме оптимальному співвідношенню ціна-якість.</w:t>
      </w: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51937" w:rsidRDefault="00651937" w:rsidP="0065193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Контакти для запитань</w:t>
      </w:r>
      <w:r>
        <w:rPr>
          <w:rFonts w:ascii="Times New Roman" w:eastAsia="Times New Roman" w:hAnsi="Times New Roman" w:cs="Times New Roman"/>
          <w:highlight w:val="white"/>
        </w:rPr>
        <w:t>:</w:t>
      </w:r>
      <w:r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uk-UA"/>
        </w:rPr>
        <w:t>Аліна Шимон,</w:t>
      </w:r>
      <w:r w:rsidR="00A76B6F">
        <w:rPr>
          <w:rFonts w:ascii="Times New Roman" w:eastAsia="Times New Roman" w:hAnsi="Times New Roman" w:cs="Times New Roman"/>
          <w:highlight w:val="white"/>
          <w:lang w:val="uk-UA"/>
        </w:rPr>
        <w:t>066 452 64 82,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youthspaceukraine@gmail.com</w:t>
        </w:r>
      </w:hyperlink>
    </w:p>
    <w:p w:rsidR="00651937" w:rsidRDefault="00651937" w:rsidP="00651937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086F0A" w:rsidRDefault="0008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F0A" w:rsidRPr="00651937" w:rsidRDefault="0018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86F0A" w:rsidRPr="00651937">
          <w:pgSz w:w="11906" w:h="16838"/>
          <w:pgMar w:top="851" w:right="851" w:bottom="851" w:left="850" w:header="708" w:footer="708" w:gutter="0"/>
          <w:pgNumType w:start="1"/>
          <w:cols w:space="720"/>
        </w:sectPr>
      </w:pPr>
      <w:r>
        <w:br w:type="page"/>
      </w:r>
    </w:p>
    <w:p w:rsidR="00086F0A" w:rsidRDefault="00182E5D">
      <w:pPr>
        <w:pageBreakBefore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086F0A" w:rsidRDefault="00182E5D" w:rsidP="00A76B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Таблиця 1.1.</w:t>
      </w:r>
    </w:p>
    <w:tbl>
      <w:tblPr>
        <w:tblW w:w="1559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4819"/>
        <w:gridCol w:w="1134"/>
        <w:gridCol w:w="1276"/>
        <w:gridCol w:w="1701"/>
        <w:gridCol w:w="1418"/>
        <w:gridCol w:w="2693"/>
      </w:tblGrid>
      <w:tr w:rsidR="00A76B6F" w:rsidRPr="00A76B6F" w:rsidTr="00A76B6F">
        <w:trPr>
          <w:trHeight w:val="210"/>
        </w:trPr>
        <w:tc>
          <w:tcPr>
            <w:tcW w:w="1559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заходу №1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Тривалість заходу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: 4 дні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Кількість учасників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: 1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учасників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76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Кількість разів проведення заходу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A76B6F" w:rsidRPr="00A76B6F" w:rsidTr="00A76B6F">
        <w:trPr>
          <w:trHeight w:val="39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Характеристики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1 захід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Специфікація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Од виміру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одиниць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Сума, грн.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 сума з урахуванням комісії, грн.</w:t>
            </w:r>
          </w:p>
        </w:tc>
      </w:tr>
      <w:tr w:rsidR="00A76B6F" w:rsidRPr="00A76B6F" w:rsidTr="00A76B6F">
        <w:trPr>
          <w:trHeight w:val="39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 для заходу</w:t>
            </w:r>
          </w:p>
        </w:tc>
        <w:tc>
          <w:tcPr>
            <w:tcW w:w="4819" w:type="dxa"/>
            <w:vAlign w:val="center"/>
          </w:tcPr>
          <w:p w:rsidR="00A76B6F" w:rsidRPr="00AE5903" w:rsidRDefault="00A76B6F" w:rsidP="0069131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Оренда приміщення для тренінгу (конференц-зал для комфортного розміщення 25 осіб);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забезпечення заходу (звук, проектор)</w:t>
            </w:r>
          </w:p>
        </w:tc>
        <w:tc>
          <w:tcPr>
            <w:tcW w:w="4819" w:type="dxa"/>
            <w:vAlign w:val="center"/>
          </w:tcPr>
          <w:p w:rsidR="00A76B6F" w:rsidRPr="00AE5903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Оренда технічного обладнання (проектор, екран, звук);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Перерва на каву</w:t>
            </w:r>
          </w:p>
        </w:tc>
        <w:tc>
          <w:tcPr>
            <w:tcW w:w="4819" w:type="dxa"/>
            <w:vAlign w:val="center"/>
          </w:tcPr>
          <w:p w:rsidR="00A76B6F" w:rsidRPr="00AE5903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Перерва на каву (4 дні х 15 осіб* 2 перерви на каву) з можливістю врахування індивідуальних особливостей (вегетаріанське мет, тощо);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0250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Обід</w:t>
            </w:r>
          </w:p>
        </w:tc>
        <w:tc>
          <w:tcPr>
            <w:tcW w:w="4819" w:type="dxa"/>
            <w:vAlign w:val="center"/>
          </w:tcPr>
          <w:p w:rsidR="00A76B6F" w:rsidRPr="00AE5903" w:rsidRDefault="00A76B6F" w:rsidP="006913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Забезпечення обідів (4 дні х 15 осіб) з можливістю врахування індивідуальних особливостей (вегетаріанське мет, тощо);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Вечеря</w:t>
            </w:r>
          </w:p>
        </w:tc>
        <w:tc>
          <w:tcPr>
            <w:tcW w:w="4819" w:type="dxa"/>
          </w:tcPr>
          <w:p w:rsidR="00A76B6F" w:rsidRPr="00AE5903" w:rsidRDefault="00A76B6F" w:rsidP="006913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Забезпечення вечерь (5 дні х 15 осіб) з можливістю врахування індивідуальних особливостей (вегетаріанське меню, тощо);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</w:p>
        </w:tc>
        <w:tc>
          <w:tcPr>
            <w:tcW w:w="4819" w:type="dxa"/>
          </w:tcPr>
          <w:p w:rsidR="00633169" w:rsidRDefault="00A76B6F" w:rsidP="00691318">
            <w:pPr>
              <w:autoSpaceDE w:val="0"/>
              <w:autoSpaceDN w:val="0"/>
              <w:adjustRightInd w:val="0"/>
              <w:spacing w:after="0" w:line="259" w:lineRule="auto"/>
              <w:ind w:right="-593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Проживання (15 осіб у двомісних кімнатах* 4 днів) з</w:t>
            </w:r>
          </w:p>
          <w:p w:rsidR="00A76B6F" w:rsidRPr="00AE5903" w:rsidRDefault="00A76B6F" w:rsidP="00691318">
            <w:pPr>
              <w:autoSpaceDE w:val="0"/>
              <w:autoSpaceDN w:val="0"/>
              <w:adjustRightInd w:val="0"/>
              <w:spacing w:after="0" w:line="259" w:lineRule="auto"/>
              <w:ind w:right="-593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можливість раннього заїзду та пізнього виселення;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доба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A76B6F" w:rsidRPr="00A76B6F" w:rsidTr="00A76B6F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 транспортних витрат</w:t>
            </w:r>
          </w:p>
        </w:tc>
        <w:tc>
          <w:tcPr>
            <w:tcW w:w="4819" w:type="dxa"/>
            <w:vAlign w:val="center"/>
          </w:tcPr>
          <w:p w:rsidR="00A76B6F" w:rsidRPr="00AE5903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Компенсація транспортних витрати для учасників з інших міст (15 учасник*2 сторони (на основі квитків туди і назад);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A76B6F" w:rsidRPr="00A76B6F" w:rsidTr="00A76B6F">
        <w:trPr>
          <w:trHeight w:val="40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Комісія, %</w:t>
            </w:r>
          </w:p>
        </w:tc>
        <w:tc>
          <w:tcPr>
            <w:tcW w:w="4819" w:type="dxa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Винагорода за організацію заходу</w:t>
            </w:r>
          </w:p>
        </w:tc>
        <w:tc>
          <w:tcPr>
            <w:tcW w:w="82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B6F" w:rsidRPr="00A76B6F" w:rsidTr="00A76B6F">
        <w:trPr>
          <w:trHeight w:val="40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РАЗОМ, грн.</w:t>
            </w:r>
          </w:p>
        </w:tc>
        <w:tc>
          <w:tcPr>
            <w:tcW w:w="4819" w:type="dxa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 урахуванням комісії</w:t>
            </w:r>
          </w:p>
        </w:tc>
        <w:tc>
          <w:tcPr>
            <w:tcW w:w="82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6F0A" w:rsidRDefault="00086F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86F0A" w:rsidRDefault="00182E5D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Загальна вартість ________________ грн.</w:t>
      </w:r>
      <w:r>
        <w:br w:type="page"/>
      </w:r>
    </w:p>
    <w:p w:rsidR="00A76B6F" w:rsidRPr="00A76B6F" w:rsidRDefault="00A76B6F" w:rsidP="00A76B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Таблиця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</w:p>
    <w:tbl>
      <w:tblPr>
        <w:tblW w:w="1545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4677"/>
        <w:gridCol w:w="1276"/>
        <w:gridCol w:w="1276"/>
        <w:gridCol w:w="1701"/>
        <w:gridCol w:w="1417"/>
        <w:gridCol w:w="2552"/>
      </w:tblGrid>
      <w:tr w:rsidR="00A76B6F" w:rsidRPr="00A76B6F" w:rsidTr="00A76B6F">
        <w:trPr>
          <w:trHeight w:val="210"/>
        </w:trPr>
        <w:tc>
          <w:tcPr>
            <w:tcW w:w="154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Тип заходу №2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Тривалість заходу</w:t>
            </w: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4 дні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Кількість учасників</w:t>
            </w: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62 учасники</w:t>
            </w: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76B6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Кількість разів проведення заходу</w:t>
            </w: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4 рази</w:t>
            </w:r>
          </w:p>
        </w:tc>
      </w:tr>
      <w:tr w:rsidR="00A76B6F" w:rsidRPr="00A76B6F" w:rsidTr="00A76B6F">
        <w:trPr>
          <w:trHeight w:val="394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Характеристики</w:t>
            </w:r>
          </w:p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 1 захід</w:t>
            </w: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Специфікація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 виміру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Кількість одиниць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Сума, грн.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Максимальна сума з урахуванням комісії, грн.</w:t>
            </w:r>
          </w:p>
        </w:tc>
      </w:tr>
      <w:tr w:rsidR="00A76B6F" w:rsidRPr="00A76B6F" w:rsidTr="00A76B6F">
        <w:trPr>
          <w:trHeight w:val="394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Приміщення для заходу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69131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Оренда приміщення для проведення буткемпів (4 дні*4 хвилі) (конференц-зал для комфортного розміщення 65 осіб)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</w:tc>
      </w:tr>
      <w:tr w:rsidR="00A76B6F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Технічне забезпечення заходу (звук, проектор)</w:t>
            </w:r>
          </w:p>
        </w:tc>
        <w:tc>
          <w:tcPr>
            <w:tcW w:w="4677" w:type="dxa"/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Оренда технічного обладнання (звук, проектор)*4 дні*4 хвил</w:t>
            </w: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</w:tr>
      <w:tr w:rsidR="00935524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Техпідтримка</w:t>
            </w:r>
          </w:p>
        </w:tc>
        <w:tc>
          <w:tcPr>
            <w:tcW w:w="4677" w:type="dxa"/>
            <w:vAlign w:val="center"/>
          </w:tcPr>
          <w:p w:rsidR="00935524" w:rsidRPr="00935524" w:rsidRDefault="00935524" w:rsidP="0093552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Техпідтримка (звукооператор) 4 дні*4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524" w:rsidRPr="00935524" w:rsidRDefault="00935524" w:rsidP="0093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55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8000</w:t>
            </w:r>
          </w:p>
        </w:tc>
      </w:tr>
      <w:tr w:rsidR="00A76B6F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Перерва на каву</w:t>
            </w:r>
          </w:p>
        </w:tc>
        <w:tc>
          <w:tcPr>
            <w:tcW w:w="4677" w:type="dxa"/>
            <w:vAlign w:val="center"/>
          </w:tcPr>
          <w:p w:rsidR="00A76B6F" w:rsidRPr="00935524" w:rsidRDefault="00A76B6F" w:rsidP="0069131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Кава-брейк, 2 рази на день, (50 учасників + 1 фасилітатор + 10 менторів + 1 суперментор*4 дні*2 рази)*4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935524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74400</w:t>
            </w:r>
          </w:p>
        </w:tc>
      </w:tr>
      <w:tr w:rsidR="00A76B6F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Обід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6913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Харчування (обід), (50 учасників + 1 фасилітатор + 10 менторів + 1 суперментор*4 дні)*4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74400</w:t>
            </w:r>
          </w:p>
        </w:tc>
      </w:tr>
      <w:tr w:rsidR="00A76B6F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Вечеря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69131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Харчування (вечеря), (50 учасників + 1 фасилітатор + 10 менторів + 1 суперментор *3 дні)*4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55800</w:t>
            </w:r>
          </w:p>
        </w:tc>
      </w:tr>
      <w:tr w:rsidR="00A76B6F" w:rsidRPr="00A76B6F" w:rsidTr="00A76B6F"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A76B6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Проживання учасників буткемпів (20 двомісних кімнат для USHIFTers+2 кімнати для фасилітатора та суперментора*4 дні)*4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доба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193600</w:t>
            </w:r>
          </w:p>
        </w:tc>
      </w:tr>
      <w:tr w:rsidR="00A76B6F" w:rsidRPr="00A76B6F" w:rsidTr="00A76B6F">
        <w:trPr>
          <w:trHeight w:val="233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 транспортних витрат</w:t>
            </w:r>
          </w:p>
        </w:tc>
        <w:tc>
          <w:tcPr>
            <w:tcW w:w="4677" w:type="dxa"/>
            <w:vAlign w:val="center"/>
          </w:tcPr>
          <w:p w:rsidR="00A76B6F" w:rsidRPr="00A76B6F" w:rsidRDefault="00A76B6F" w:rsidP="0069131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Компенсація транспортних витрат для учасників буткемпу з інших міст (50 учасників +1 фасилітатор + 10 менторів + 1 суперментор *2 (на основі квитків туди і назад)*4 хвилі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74400</w:t>
            </w:r>
          </w:p>
        </w:tc>
      </w:tr>
      <w:tr w:rsidR="00A76B6F" w:rsidRPr="00A76B6F" w:rsidTr="00A76B6F">
        <w:trPr>
          <w:trHeight w:val="237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Комісія, %</w:t>
            </w:r>
          </w:p>
        </w:tc>
        <w:tc>
          <w:tcPr>
            <w:tcW w:w="4677" w:type="dxa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Винагорода за організацію заходу</w:t>
            </w:r>
          </w:p>
        </w:tc>
        <w:tc>
          <w:tcPr>
            <w:tcW w:w="82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6B6F" w:rsidRPr="00A76B6F" w:rsidTr="00A76B6F">
        <w:trPr>
          <w:trHeight w:val="400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РАЗОМ, грн.</w:t>
            </w:r>
          </w:p>
        </w:tc>
        <w:tc>
          <w:tcPr>
            <w:tcW w:w="4677" w:type="dxa"/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Сума з урахуванням комісії</w:t>
            </w:r>
          </w:p>
        </w:tc>
        <w:tc>
          <w:tcPr>
            <w:tcW w:w="82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6F" w:rsidRPr="00A76B6F" w:rsidRDefault="00A76B6F" w:rsidP="0069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6F0A" w:rsidRDefault="0008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F0A" w:rsidRDefault="00182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вартість ________________ грн.</w:t>
      </w:r>
    </w:p>
    <w:sectPr w:rsidR="00086F0A" w:rsidSect="00A76B6F">
      <w:pgSz w:w="16838" w:h="11906" w:orient="landscape"/>
      <w:pgMar w:top="851" w:right="851" w:bottom="252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5D" w:rsidRDefault="00182E5D" w:rsidP="000D1492">
      <w:pPr>
        <w:spacing w:after="0" w:line="240" w:lineRule="auto"/>
      </w:pPr>
      <w:r>
        <w:separator/>
      </w:r>
    </w:p>
  </w:endnote>
  <w:endnote w:type="continuationSeparator" w:id="0">
    <w:p w:rsidR="00182E5D" w:rsidRDefault="00182E5D" w:rsidP="000D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8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5D" w:rsidRDefault="00182E5D" w:rsidP="000D1492">
      <w:pPr>
        <w:spacing w:after="0" w:line="240" w:lineRule="auto"/>
      </w:pPr>
      <w:r>
        <w:separator/>
      </w:r>
    </w:p>
  </w:footnote>
  <w:footnote w:type="continuationSeparator" w:id="0">
    <w:p w:rsidR="00182E5D" w:rsidRDefault="00182E5D" w:rsidP="000D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E7"/>
    <w:multiLevelType w:val="multilevel"/>
    <w:tmpl w:val="E8C20F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EB7BDF"/>
    <w:multiLevelType w:val="multilevel"/>
    <w:tmpl w:val="F93AE7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o.%3."/>
      <w:lvlJc w:val="left"/>
      <w:pPr>
        <w:ind w:left="2160" w:hanging="360"/>
      </w:pPr>
    </w:lvl>
    <w:lvl w:ilvl="3">
      <w:start w:val="1"/>
      <w:numFmt w:val="decimal"/>
      <w:lvlText w:val="o.%3.%4."/>
      <w:lvlJc w:val="left"/>
      <w:pPr>
        <w:ind w:left="2880" w:hanging="360"/>
      </w:pPr>
    </w:lvl>
    <w:lvl w:ilvl="4">
      <w:start w:val="1"/>
      <w:numFmt w:val="decimal"/>
      <w:lvlText w:val="o.%3.%4.%5."/>
      <w:lvlJc w:val="left"/>
      <w:pPr>
        <w:ind w:left="3600" w:hanging="360"/>
      </w:pPr>
    </w:lvl>
    <w:lvl w:ilvl="5">
      <w:start w:val="1"/>
      <w:numFmt w:val="decimal"/>
      <w:lvlText w:val="o.%3.%4.%5.%6."/>
      <w:lvlJc w:val="left"/>
      <w:pPr>
        <w:ind w:left="4320" w:hanging="360"/>
      </w:pPr>
    </w:lvl>
    <w:lvl w:ilvl="6">
      <w:start w:val="1"/>
      <w:numFmt w:val="decimal"/>
      <w:lvlText w:val="o.%3.%4.%5.%6.%7."/>
      <w:lvlJc w:val="left"/>
      <w:pPr>
        <w:ind w:left="5040" w:hanging="360"/>
      </w:pPr>
    </w:lvl>
    <w:lvl w:ilvl="7">
      <w:start w:val="1"/>
      <w:numFmt w:val="decimal"/>
      <w:lvlText w:val="o.%3.%4.%5.%6.%7.%8."/>
      <w:lvlJc w:val="left"/>
      <w:pPr>
        <w:ind w:left="5760" w:hanging="360"/>
      </w:pPr>
    </w:lvl>
    <w:lvl w:ilvl="8">
      <w:start w:val="1"/>
      <w:numFmt w:val="decimal"/>
      <w:lvlText w:val="o.%3.%4.%5.%6.%7.%8.%9."/>
      <w:lvlJc w:val="left"/>
      <w:pPr>
        <w:ind w:left="6480" w:hanging="360"/>
      </w:pPr>
    </w:lvl>
  </w:abstractNum>
  <w:abstractNum w:abstractNumId="2" w15:restartNumberingAfterBreak="0">
    <w:nsid w:val="6824757A"/>
    <w:multiLevelType w:val="multilevel"/>
    <w:tmpl w:val="5B8A5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887649"/>
    <w:multiLevelType w:val="hybridMultilevel"/>
    <w:tmpl w:val="1F2A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0A"/>
    <w:rsid w:val="00086F0A"/>
    <w:rsid w:val="00087702"/>
    <w:rsid w:val="000D1492"/>
    <w:rsid w:val="00182E5D"/>
    <w:rsid w:val="00246B1B"/>
    <w:rsid w:val="00527D8D"/>
    <w:rsid w:val="00572A30"/>
    <w:rsid w:val="00633169"/>
    <w:rsid w:val="00651937"/>
    <w:rsid w:val="00935524"/>
    <w:rsid w:val="00A76B6F"/>
    <w:rsid w:val="00A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74F43-5F12-6048-90DB-6DA91A7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font368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Шрифт абзацу за промовчанням1"/>
  </w:style>
  <w:style w:type="character" w:customStyle="1" w:styleId="a4">
    <w:name w:val="Класика Знак"/>
    <w:basedOn w:val="10"/>
    <w:rPr>
      <w:rFonts w:ascii="Times New Roman" w:hAnsi="Times New Roman"/>
      <w:sz w:val="28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b/>
      <w:i/>
    </w:rPr>
  </w:style>
  <w:style w:type="character" w:customStyle="1" w:styleId="ListLabel2">
    <w:name w:val="ListLabel 2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Класика"/>
    <w:basedOn w:val="a"/>
    <w:pPr>
      <w:spacing w:line="100" w:lineRule="atLeast"/>
    </w:pPr>
    <w:rPr>
      <w:rFonts w:ascii="Times New Roman" w:hAnsi="Times New Roman"/>
      <w:sz w:val="28"/>
    </w:rPr>
  </w:style>
  <w:style w:type="paragraph" w:customStyle="1" w:styleId="13">
    <w:name w:val="Абзац списку1"/>
    <w:basedOn w:val="a"/>
    <w:pPr>
      <w:ind w:left="720"/>
    </w:pPr>
  </w:style>
  <w:style w:type="paragraph" w:styleId="aa">
    <w:name w:val="List Paragraph"/>
    <w:basedOn w:val="a"/>
    <w:uiPriority w:val="34"/>
    <w:qFormat/>
    <w:rsid w:val="00615BB1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5321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32135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32135"/>
    <w:rPr>
      <w:rFonts w:eastAsia="SimSun" w:cs="font368"/>
      <w:sz w:val="20"/>
      <w:szCs w:val="20"/>
      <w:lang w:val="ru-RU"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2135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32135"/>
    <w:rPr>
      <w:rFonts w:eastAsia="SimSun" w:cs="font368"/>
      <w:b/>
      <w:bCs/>
      <w:sz w:val="20"/>
      <w:szCs w:val="20"/>
      <w:lang w:val="ru-RU" w:eastAsia="ar-SA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af6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0D1492"/>
    <w:rPr>
      <w:rFonts w:eastAsia="SimSun" w:cs="font368"/>
      <w:lang w:val="ru-RU" w:eastAsia="ar-SA"/>
    </w:rPr>
  </w:style>
  <w:style w:type="paragraph" w:styleId="af7">
    <w:name w:val="footer"/>
    <w:basedOn w:val="a"/>
    <w:link w:val="af8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0D1492"/>
    <w:rPr>
      <w:rFonts w:eastAsia="SimSun" w:cs="font36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spaceukra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spaceukrai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QNBbj1gUlTF1FpN4/dQk3LNKQ==">CgMxLjA4AHIhMU5IcHNQenZoRWdFY0ZXb3dSSFRpejNwX1Qydlh5czdC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2023-09-30T08:43:00Z</cp:lastPrinted>
  <dcterms:created xsi:type="dcterms:W3CDTF">2023-09-30T09:01:00Z</dcterms:created>
  <dcterms:modified xsi:type="dcterms:W3CDTF">2023-09-30T09:01:00Z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